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ind w:left="720" w:firstLine="0"/>
        <w:jc w:val="center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</w:rPr>
        <w:drawing>
          <wp:inline distB="114300" distT="114300" distL="114300" distR="114300">
            <wp:extent cx="1590675" cy="1733550"/>
            <wp:effectExtent b="25400" l="25400" r="25400" t="25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35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rPr>
          <w:rFonts w:ascii="Roboto" w:cs="Roboto" w:eastAsia="Roboto" w:hAnsi="Roboto"/>
          <w:b w:val="1"/>
          <w:color w:val="21212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8"/>
          <w:szCs w:val="28"/>
          <w:highlight w:val="white"/>
          <w:u w:val="single"/>
          <w:rtl w:val="0"/>
        </w:rPr>
        <w:t xml:space="preserve">Responsibilities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Provide a spiritual element for campouts and troop meetings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Provide spiritual counseling when needed or requested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Provide opportunities for all boys to grow in their relationship with God and their fellow Scouts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Encourage Scouts to participate in the religious emblems program of their respective faith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Be familiar with the chaplain aide section of this manual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Work with the troop chaplain aide to plan and conduct an annual Scout-oriented religious observance, preferably during Scout Week in February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